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2E8EB" w14:textId="04309856" w:rsidR="005C5E23" w:rsidRDefault="005C5E23" w:rsidP="008B723F">
      <w:pPr>
        <w:ind w:right="-360"/>
        <w:rPr>
          <w:sz w:val="22"/>
          <w:szCs w:val="22"/>
        </w:rPr>
      </w:pPr>
    </w:p>
    <w:p w14:paraId="5750E0ED" w14:textId="77777777" w:rsidR="00AF6EF0" w:rsidRPr="001A376F" w:rsidRDefault="00AF6EF0" w:rsidP="008B723F">
      <w:pPr>
        <w:ind w:right="-360"/>
        <w:rPr>
          <w:sz w:val="22"/>
          <w:szCs w:val="22"/>
        </w:rPr>
      </w:pPr>
    </w:p>
    <w:p w14:paraId="07EE4FC6" w14:textId="1C7F4F43" w:rsidR="00D11872" w:rsidRPr="00E83DCC" w:rsidRDefault="00864ED3" w:rsidP="008B723F">
      <w:pPr>
        <w:ind w:right="90"/>
        <w:rPr>
          <w:rFonts w:ascii="FT Base" w:hAnsi="FT Base"/>
        </w:rPr>
      </w:pPr>
      <w:r w:rsidRPr="00E83DCC">
        <w:rPr>
          <w:rFonts w:ascii="FT Base" w:hAnsi="FT Base"/>
        </w:rPr>
        <w:fldChar w:fldCharType="begin"/>
      </w:r>
      <w:r w:rsidRPr="00E83DCC">
        <w:rPr>
          <w:rFonts w:ascii="FT Base" w:hAnsi="FT Base"/>
        </w:rPr>
        <w:instrText xml:space="preserve"> DATE \@ "MMMM d, yyyy" </w:instrText>
      </w:r>
      <w:r w:rsidRPr="00E83DCC">
        <w:rPr>
          <w:rFonts w:ascii="FT Base" w:hAnsi="FT Base"/>
        </w:rPr>
        <w:fldChar w:fldCharType="separate"/>
      </w:r>
      <w:r w:rsidR="00F24C8C">
        <w:rPr>
          <w:rFonts w:ascii="FT Base" w:hAnsi="FT Base"/>
          <w:noProof/>
        </w:rPr>
        <w:t>February 8, 2023</w:t>
      </w:r>
      <w:r w:rsidRPr="00E83DCC">
        <w:rPr>
          <w:rFonts w:ascii="FT Base" w:hAnsi="FT Base"/>
        </w:rPr>
        <w:fldChar w:fldCharType="end"/>
      </w:r>
    </w:p>
    <w:p w14:paraId="24CC8FCF" w14:textId="54D1BB17" w:rsidR="00E83DCC" w:rsidRDefault="00E83DCC" w:rsidP="008B723F">
      <w:pPr>
        <w:ind w:right="90"/>
        <w:rPr>
          <w:rFonts w:ascii="FT Base" w:hAnsi="FT Base"/>
        </w:rPr>
      </w:pPr>
    </w:p>
    <w:p w14:paraId="0D0336C7" w14:textId="77777777" w:rsidR="00AF6EF0" w:rsidRDefault="00AF6EF0" w:rsidP="008B723F">
      <w:pPr>
        <w:ind w:right="90"/>
        <w:rPr>
          <w:rFonts w:ascii="FT Base" w:hAnsi="FT Base"/>
        </w:rPr>
      </w:pPr>
    </w:p>
    <w:p w14:paraId="166F245B" w14:textId="77777777" w:rsidR="006E5F68" w:rsidRDefault="006E5F68" w:rsidP="008B723F">
      <w:pPr>
        <w:rPr>
          <w:rFonts w:ascii="FT Base" w:hAnsi="FT Base"/>
        </w:rPr>
      </w:pPr>
      <w:r>
        <w:rPr>
          <w:rFonts w:ascii="FT Base" w:hAnsi="FT Base"/>
        </w:rPr>
        <w:t>Thinh T. Nguyen</w:t>
      </w:r>
    </w:p>
    <w:p w14:paraId="64576E9C" w14:textId="77777777" w:rsidR="006E5F68" w:rsidRDefault="006E5F68" w:rsidP="008B723F">
      <w:pPr>
        <w:rPr>
          <w:rFonts w:ascii="FT Base" w:hAnsi="FT Base"/>
        </w:rPr>
      </w:pPr>
      <w:r>
        <w:rPr>
          <w:rFonts w:ascii="FT Base" w:hAnsi="FT Base"/>
        </w:rPr>
        <w:t>Sr. Manager Interconnection Projects</w:t>
      </w:r>
    </w:p>
    <w:p w14:paraId="2B3A49EC" w14:textId="77777777" w:rsidR="006E5F68" w:rsidRDefault="006E5F68" w:rsidP="008B723F">
      <w:pPr>
        <w:rPr>
          <w:rFonts w:ascii="FT Base" w:hAnsi="FT Base"/>
        </w:rPr>
      </w:pPr>
      <w:r>
        <w:rPr>
          <w:rFonts w:ascii="FT Base" w:hAnsi="FT Base"/>
        </w:rPr>
        <w:t>New York ISO</w:t>
      </w:r>
    </w:p>
    <w:p w14:paraId="128C7D7E" w14:textId="77777777" w:rsidR="006E5F68" w:rsidRDefault="006E5F68" w:rsidP="008B723F">
      <w:pPr>
        <w:rPr>
          <w:rFonts w:ascii="FT Base" w:hAnsi="FT Base"/>
        </w:rPr>
      </w:pPr>
      <w:r>
        <w:rPr>
          <w:rFonts w:ascii="FT Base" w:hAnsi="FT Base"/>
        </w:rPr>
        <w:t xml:space="preserve">10 </w:t>
      </w:r>
      <w:proofErr w:type="spellStart"/>
      <w:r>
        <w:rPr>
          <w:rFonts w:ascii="FT Base" w:hAnsi="FT Base"/>
        </w:rPr>
        <w:t>Krey</w:t>
      </w:r>
      <w:proofErr w:type="spellEnd"/>
      <w:r>
        <w:rPr>
          <w:rFonts w:ascii="FT Base" w:hAnsi="FT Base"/>
        </w:rPr>
        <w:t xml:space="preserve"> Boulevard</w:t>
      </w:r>
    </w:p>
    <w:p w14:paraId="28AD25D0" w14:textId="77777777" w:rsidR="00AF6EF0" w:rsidRDefault="006E5F68" w:rsidP="008B723F">
      <w:pPr>
        <w:rPr>
          <w:rFonts w:ascii="FT Base" w:hAnsi="FT Base"/>
        </w:rPr>
      </w:pPr>
      <w:r>
        <w:rPr>
          <w:rFonts w:ascii="FT Base" w:hAnsi="FT Base"/>
        </w:rPr>
        <w:t>Renssel</w:t>
      </w:r>
      <w:r w:rsidR="00AF6EF0">
        <w:rPr>
          <w:rFonts w:ascii="FT Base" w:hAnsi="FT Base"/>
        </w:rPr>
        <w:t xml:space="preserve">aer NY </w:t>
      </w:r>
    </w:p>
    <w:p w14:paraId="5CCE5C21" w14:textId="77777777" w:rsidR="00AF6EF0" w:rsidRDefault="00AF6EF0" w:rsidP="008B723F">
      <w:pPr>
        <w:rPr>
          <w:rFonts w:ascii="FT Base" w:hAnsi="FT Base"/>
        </w:rPr>
      </w:pPr>
    </w:p>
    <w:p w14:paraId="74B123E7" w14:textId="09F7FFA9" w:rsidR="00AF6EF0" w:rsidRDefault="00AF6EF0" w:rsidP="008B723F">
      <w:pPr>
        <w:rPr>
          <w:rFonts w:ascii="FT Base" w:hAnsi="FT Base"/>
        </w:rPr>
      </w:pPr>
      <w:r>
        <w:rPr>
          <w:rFonts w:ascii="FT Base" w:hAnsi="FT Base"/>
        </w:rPr>
        <w:t xml:space="preserve">VIA EMAIL TO: </w:t>
      </w:r>
      <w:r w:rsidRPr="00AF6EF0">
        <w:rPr>
          <w:rFonts w:ascii="FT Base" w:hAnsi="FT Base"/>
        </w:rPr>
        <w:t>Stakeholder_Services_IPsupport@nyiso.com</w:t>
      </w:r>
    </w:p>
    <w:p w14:paraId="73DE91D5" w14:textId="19F6779F" w:rsidR="00E83DCC" w:rsidRDefault="00D11872" w:rsidP="008B723F">
      <w:pPr>
        <w:rPr>
          <w:rFonts w:ascii="FT Base" w:hAnsi="FT Base"/>
        </w:rPr>
      </w:pPr>
      <w:r w:rsidRPr="00E83DCC">
        <w:rPr>
          <w:rFonts w:ascii="FT Base" w:hAnsi="FT Base"/>
        </w:rPr>
        <w:br/>
        <w:t xml:space="preserve">Dear </w:t>
      </w:r>
      <w:r w:rsidR="00AF6EF0">
        <w:rPr>
          <w:rFonts w:ascii="FT Base" w:hAnsi="FT Base"/>
        </w:rPr>
        <w:t>Thinh</w:t>
      </w:r>
      <w:r w:rsidRPr="00E83DCC">
        <w:rPr>
          <w:rFonts w:ascii="FT Base" w:hAnsi="FT Base"/>
        </w:rPr>
        <w:t>:</w:t>
      </w:r>
      <w:r w:rsidRPr="00E83DCC">
        <w:rPr>
          <w:rFonts w:ascii="FT Base" w:hAnsi="FT Base"/>
        </w:rPr>
        <w:br/>
      </w:r>
      <w:r w:rsidRPr="00E83DCC">
        <w:rPr>
          <w:rFonts w:ascii="FT Base" w:hAnsi="FT Base"/>
        </w:rPr>
        <w:br/>
      </w:r>
      <w:r w:rsidR="00E83DCC" w:rsidRPr="00E83DCC">
        <w:rPr>
          <w:rFonts w:ascii="FT Base" w:hAnsi="FT Base"/>
        </w:rPr>
        <w:t>EDP Renewables</w:t>
      </w:r>
      <w:r w:rsidR="0069687C">
        <w:rPr>
          <w:rFonts w:ascii="FT Base" w:hAnsi="FT Base"/>
        </w:rPr>
        <w:t xml:space="preserve"> </w:t>
      </w:r>
      <w:r w:rsidR="008B723F">
        <w:rPr>
          <w:rFonts w:ascii="FT Base" w:hAnsi="FT Base"/>
        </w:rPr>
        <w:t>requests that NYISO</w:t>
      </w:r>
      <w:r w:rsidR="00E83DCC">
        <w:rPr>
          <w:rFonts w:ascii="FT Base" w:hAnsi="FT Base"/>
        </w:rPr>
        <w:t xml:space="preserve"> </w:t>
      </w:r>
      <w:r w:rsidR="00760739">
        <w:rPr>
          <w:rFonts w:ascii="FT Base" w:hAnsi="FT Base"/>
        </w:rPr>
        <w:t>examine the following proposal as you consider reforms to the interconnection process.</w:t>
      </w:r>
    </w:p>
    <w:p w14:paraId="1D64CCD9" w14:textId="3F1360AC" w:rsidR="006E5F68" w:rsidRDefault="006E5F68" w:rsidP="008B723F">
      <w:pPr>
        <w:rPr>
          <w:rFonts w:ascii="FT Base" w:hAnsi="FT Base"/>
        </w:rPr>
      </w:pPr>
    </w:p>
    <w:p w14:paraId="65707708" w14:textId="75AF5628" w:rsidR="006E5F68" w:rsidRDefault="006E5F68" w:rsidP="008B723F">
      <w:pPr>
        <w:rPr>
          <w:rFonts w:ascii="FT Base" w:hAnsi="FT Base"/>
        </w:rPr>
      </w:pPr>
      <w:r>
        <w:rPr>
          <w:rFonts w:ascii="FT Base" w:hAnsi="FT Base"/>
        </w:rPr>
        <w:t>EDP Renewables believes the NYISO Tariff should be modified to allow a unit that has successfully completed a Class Year and posted any necessary upgrade security up to 18 months to satisfy the regulatory milestone requirement.  This is an increase from the 6 months currently in the Tariff.</w:t>
      </w:r>
    </w:p>
    <w:p w14:paraId="62892607" w14:textId="4284D128" w:rsidR="006E5F68" w:rsidRDefault="006E5F68" w:rsidP="008B723F">
      <w:pPr>
        <w:rPr>
          <w:rFonts w:ascii="FT Base" w:hAnsi="FT Base"/>
        </w:rPr>
      </w:pPr>
    </w:p>
    <w:p w14:paraId="7C58B39C" w14:textId="3A0EBF9F" w:rsidR="006E5F68" w:rsidRDefault="006E5F68" w:rsidP="008B723F">
      <w:pPr>
        <w:rPr>
          <w:rFonts w:ascii="FT Base" w:hAnsi="FT Base"/>
        </w:rPr>
      </w:pPr>
      <w:r>
        <w:rPr>
          <w:rFonts w:ascii="FT Base" w:hAnsi="FT Base"/>
        </w:rPr>
        <w:t xml:space="preserve">We think this is reasonable since a project will need to get through both seasons of studies before it can submit to the relevant permitting authority.  That will take up to 12 months.  Another six months will allow </w:t>
      </w:r>
      <w:proofErr w:type="gramStart"/>
      <w:r>
        <w:rPr>
          <w:rFonts w:ascii="FT Base" w:hAnsi="FT Base"/>
        </w:rPr>
        <w:t>for the production of</w:t>
      </w:r>
      <w:proofErr w:type="gramEnd"/>
      <w:r>
        <w:rPr>
          <w:rFonts w:ascii="FT Base" w:hAnsi="FT Base"/>
        </w:rPr>
        <w:t xml:space="preserve"> the permit application, its submittal and having </w:t>
      </w:r>
      <w:r w:rsidR="00AF6EF0">
        <w:rPr>
          <w:rFonts w:ascii="FT Base" w:hAnsi="FT Base"/>
        </w:rPr>
        <w:t xml:space="preserve">such application “deemed complete” by </w:t>
      </w:r>
      <w:r>
        <w:rPr>
          <w:rFonts w:ascii="FT Base" w:hAnsi="FT Base"/>
        </w:rPr>
        <w:t>the permitting authority.</w:t>
      </w:r>
    </w:p>
    <w:p w14:paraId="43020531" w14:textId="77777777" w:rsidR="00760739" w:rsidRPr="00E83DCC" w:rsidRDefault="00760739" w:rsidP="008B723F">
      <w:pPr>
        <w:rPr>
          <w:rFonts w:ascii="FT Base" w:hAnsi="FT Base"/>
        </w:rPr>
      </w:pPr>
    </w:p>
    <w:p w14:paraId="142D5EBD" w14:textId="3F325ED0" w:rsidR="001A376F" w:rsidRPr="006E5F68" w:rsidRDefault="00760739" w:rsidP="008B723F">
      <w:pPr>
        <w:rPr>
          <w:rFonts w:ascii="FT Base" w:hAnsi="FT Base"/>
        </w:rPr>
      </w:pPr>
      <w:r>
        <w:rPr>
          <w:rFonts w:ascii="FT Base" w:hAnsi="FT Base"/>
        </w:rPr>
        <w:t>As you know, t</w:t>
      </w:r>
      <w:r w:rsidR="001A376F" w:rsidRPr="00E83DCC">
        <w:rPr>
          <w:rFonts w:ascii="FT Base" w:hAnsi="FT Base"/>
        </w:rPr>
        <w:t xml:space="preserve">he NYISO </w:t>
      </w:r>
      <w:r w:rsidR="006E5F68">
        <w:rPr>
          <w:rFonts w:ascii="FT Base" w:hAnsi="FT Base"/>
        </w:rPr>
        <w:t>T</w:t>
      </w:r>
      <w:r w:rsidR="001A376F" w:rsidRPr="00E83DCC">
        <w:rPr>
          <w:rFonts w:ascii="FT Base" w:hAnsi="FT Base"/>
        </w:rPr>
        <w:t xml:space="preserve">ariff contains a provision that requires the satisfaction of a “regulatory milestone” prior to entering a Class Year, or barring that, the payment of a </w:t>
      </w:r>
      <w:r>
        <w:rPr>
          <w:rFonts w:ascii="FT Base" w:hAnsi="FT Base"/>
        </w:rPr>
        <w:t>two</w:t>
      </w:r>
      <w:r w:rsidR="001A376F" w:rsidRPr="00E83DCC">
        <w:rPr>
          <w:rFonts w:ascii="FT Base" w:hAnsi="FT Base"/>
        </w:rPr>
        <w:t>-part deposit (Attachment S, Section 25.6.2.3.1.).</w:t>
      </w:r>
      <w:r>
        <w:rPr>
          <w:rFonts w:ascii="FT Base" w:hAnsi="FT Base"/>
        </w:rPr>
        <w:t xml:space="preserve"> </w:t>
      </w:r>
      <w:r w:rsidR="001A376F" w:rsidRPr="00E83DCC">
        <w:rPr>
          <w:rFonts w:ascii="FT Base" w:hAnsi="FT Base"/>
        </w:rPr>
        <w:t>The two-part deposit consists of a $100,000 at-risk amount</w:t>
      </w:r>
      <w:r>
        <w:rPr>
          <w:rFonts w:ascii="FT Base" w:hAnsi="FT Base"/>
        </w:rPr>
        <w:t>,</w:t>
      </w:r>
      <w:r w:rsidR="001A376F" w:rsidRPr="00E83DCC">
        <w:rPr>
          <w:rFonts w:ascii="FT Base" w:hAnsi="FT Base"/>
        </w:rPr>
        <w:t xml:space="preserve"> as well as $3,000 per MW that is fully refundable.</w:t>
      </w:r>
      <w:r>
        <w:rPr>
          <w:rFonts w:ascii="FT Base" w:hAnsi="FT Base"/>
        </w:rPr>
        <w:t xml:space="preserve"> </w:t>
      </w:r>
      <w:r w:rsidR="001A376F" w:rsidRPr="00E83DCC">
        <w:rPr>
          <w:rFonts w:ascii="FT Base" w:hAnsi="FT Base"/>
        </w:rPr>
        <w:t xml:space="preserve">The $100,000 portion of the deposit is only refundable if the project meets its regulatory milestone </w:t>
      </w:r>
      <w:r w:rsidR="001A376F" w:rsidRPr="006E5F68">
        <w:rPr>
          <w:rFonts w:ascii="FT Base" w:hAnsi="FT Base"/>
        </w:rPr>
        <w:t xml:space="preserve">within the later of (a) 12 months after the start of a Class Year or (b) the </w:t>
      </w:r>
      <w:r w:rsidRPr="006E5F68">
        <w:rPr>
          <w:rFonts w:ascii="FT Base" w:hAnsi="FT Base"/>
        </w:rPr>
        <w:t>Operating Committee’s</w:t>
      </w:r>
      <w:r w:rsidR="001A376F" w:rsidRPr="006E5F68">
        <w:rPr>
          <w:rFonts w:ascii="FT Base" w:hAnsi="FT Base"/>
        </w:rPr>
        <w:t xml:space="preserve"> approval of the Class Year Study.</w:t>
      </w:r>
    </w:p>
    <w:p w14:paraId="79AD51F9" w14:textId="77777777" w:rsidR="00E83DCC" w:rsidRPr="006E5F68" w:rsidRDefault="00E83DCC" w:rsidP="008B723F">
      <w:pPr>
        <w:rPr>
          <w:rFonts w:ascii="FT Base" w:hAnsi="FT Base"/>
        </w:rPr>
      </w:pPr>
    </w:p>
    <w:p w14:paraId="2B982937" w14:textId="6B9AD59E" w:rsidR="001A376F" w:rsidRPr="006E5F68" w:rsidRDefault="001A376F" w:rsidP="008B723F">
      <w:pPr>
        <w:rPr>
          <w:rFonts w:ascii="FT Base" w:hAnsi="FT Base"/>
        </w:rPr>
      </w:pPr>
      <w:r w:rsidRPr="006E5F68">
        <w:rPr>
          <w:rFonts w:ascii="FT Base" w:hAnsi="FT Base"/>
        </w:rPr>
        <w:t>The Class Year typically has taken longer than a year</w:t>
      </w:r>
      <w:r w:rsidR="006E5F68" w:rsidRPr="006E5F68">
        <w:rPr>
          <w:rFonts w:ascii="FT Base" w:hAnsi="FT Base"/>
        </w:rPr>
        <w:t xml:space="preserve">.  Therefore, it is </w:t>
      </w:r>
      <w:r w:rsidRPr="006E5F68">
        <w:rPr>
          <w:rFonts w:ascii="FT Base" w:hAnsi="FT Base"/>
        </w:rPr>
        <w:t>the second provision</w:t>
      </w:r>
      <w:r w:rsidR="006E5F68" w:rsidRPr="006E5F68">
        <w:rPr>
          <w:rFonts w:ascii="FT Base" w:hAnsi="FT Base"/>
        </w:rPr>
        <w:t xml:space="preserve"> that has been effective - </w:t>
      </w:r>
      <w:r w:rsidRPr="006E5F68">
        <w:rPr>
          <w:rFonts w:ascii="FT Base" w:hAnsi="FT Base"/>
        </w:rPr>
        <w:t>the approval by the OC of the Class Year Study.</w:t>
      </w:r>
    </w:p>
    <w:p w14:paraId="4484F689" w14:textId="77777777" w:rsidR="00760739" w:rsidRPr="006E5F68" w:rsidRDefault="00760739" w:rsidP="008B723F">
      <w:pPr>
        <w:rPr>
          <w:rFonts w:ascii="FT Base" w:hAnsi="FT Base"/>
        </w:rPr>
      </w:pPr>
    </w:p>
    <w:p w14:paraId="0771F16F" w14:textId="0992D204" w:rsidR="001A376F" w:rsidRDefault="001A376F" w:rsidP="008B723F">
      <w:pPr>
        <w:rPr>
          <w:rFonts w:ascii="FT Base" w:hAnsi="FT Base"/>
        </w:rPr>
      </w:pPr>
      <w:r w:rsidRPr="006E5F68">
        <w:rPr>
          <w:rFonts w:ascii="FT Base" w:hAnsi="FT Base"/>
        </w:rPr>
        <w:t>The “regulatory milestone” is described in Attachment S, Sections</w:t>
      </w:r>
      <w:r w:rsidRPr="00E83DCC">
        <w:rPr>
          <w:rFonts w:ascii="FT Base" w:hAnsi="FT Base"/>
        </w:rPr>
        <w:t xml:space="preserve"> 25.6.2.3.1.1, 25.6.2.3.1.2 and 25.6.2.3.1.2.  Those sections describe a completed application and permitting process</w:t>
      </w:r>
      <w:r w:rsidR="006E5F68">
        <w:rPr>
          <w:rFonts w:ascii="FT Base" w:hAnsi="FT Base"/>
        </w:rPr>
        <w:t xml:space="preserve"> “deemed complete”</w:t>
      </w:r>
      <w:r w:rsidRPr="00E83DCC">
        <w:rPr>
          <w:rFonts w:ascii="FT Base" w:hAnsi="FT Base"/>
        </w:rPr>
        <w:t>, either within New York State (Section 25.6.2.3.1.1), another jurisdiction outside New York (Section 25.6.2.3.1.2)</w:t>
      </w:r>
      <w:r w:rsidR="008B723F">
        <w:rPr>
          <w:rFonts w:ascii="FT Base" w:hAnsi="FT Base"/>
        </w:rPr>
        <w:t>,</w:t>
      </w:r>
      <w:r w:rsidRPr="00E83DCC">
        <w:rPr>
          <w:rFonts w:ascii="FT Base" w:hAnsi="FT Base"/>
        </w:rPr>
        <w:t xml:space="preserve"> and in a jurisdiction that may not have such siting rules (Section 25.6.2.3.1.3).</w:t>
      </w:r>
    </w:p>
    <w:p w14:paraId="62138C4F" w14:textId="77777777" w:rsidR="008B723F" w:rsidRPr="00E83DCC" w:rsidRDefault="008B723F" w:rsidP="008B723F">
      <w:pPr>
        <w:rPr>
          <w:rFonts w:ascii="FT Base" w:hAnsi="FT Base"/>
        </w:rPr>
      </w:pPr>
    </w:p>
    <w:p w14:paraId="3947E99F" w14:textId="0ED60AAC" w:rsidR="001A376F" w:rsidRDefault="001A376F" w:rsidP="008B723F">
      <w:pPr>
        <w:rPr>
          <w:rFonts w:ascii="FT Base" w:hAnsi="FT Base"/>
        </w:rPr>
      </w:pPr>
      <w:r w:rsidRPr="00E83DCC">
        <w:rPr>
          <w:rFonts w:ascii="FT Base" w:hAnsi="FT Base"/>
        </w:rPr>
        <w:t>The two-part deposit allows the unit to enter the Class Year and be evaluated with other units.</w:t>
      </w:r>
      <w:r w:rsidR="008B723F">
        <w:rPr>
          <w:rFonts w:ascii="FT Base" w:hAnsi="FT Base"/>
        </w:rPr>
        <w:t xml:space="preserve"> </w:t>
      </w:r>
      <w:r w:rsidRPr="00E83DCC">
        <w:rPr>
          <w:rFonts w:ascii="FT Base" w:hAnsi="FT Base"/>
        </w:rPr>
        <w:t>Upon completion of the Class Year, the unit will have six (6) months to satisfy the “regulatory milestone</w:t>
      </w:r>
      <w:proofErr w:type="gramStart"/>
      <w:r w:rsidRPr="00E83DCC">
        <w:rPr>
          <w:rFonts w:ascii="FT Base" w:hAnsi="FT Base"/>
        </w:rPr>
        <w:t>”</w:t>
      </w:r>
      <w:proofErr w:type="gramEnd"/>
      <w:r w:rsidRPr="00E83DCC">
        <w:rPr>
          <w:rFonts w:ascii="FT Base" w:hAnsi="FT Base"/>
        </w:rPr>
        <w:t xml:space="preserve"> or it will be deemed withdrawn.</w:t>
      </w:r>
    </w:p>
    <w:p w14:paraId="05EAA263" w14:textId="77777777" w:rsidR="008B723F" w:rsidRPr="00E83DCC" w:rsidRDefault="008B723F" w:rsidP="008B723F">
      <w:pPr>
        <w:rPr>
          <w:rFonts w:ascii="FT Base" w:hAnsi="FT Base"/>
        </w:rPr>
      </w:pPr>
    </w:p>
    <w:p w14:paraId="16DA3861" w14:textId="4DBEF3FD" w:rsidR="001A376F" w:rsidRDefault="001A376F" w:rsidP="008B723F">
      <w:pPr>
        <w:rPr>
          <w:rFonts w:ascii="FT Base" w:hAnsi="FT Base"/>
        </w:rPr>
      </w:pPr>
      <w:r w:rsidRPr="00E83DCC">
        <w:rPr>
          <w:rFonts w:ascii="FT Base" w:hAnsi="FT Base"/>
        </w:rPr>
        <w:t>The permitting and siting process in New York is long and cumbersome.</w:t>
      </w:r>
      <w:r w:rsidR="008B723F">
        <w:rPr>
          <w:rFonts w:ascii="FT Base" w:hAnsi="FT Base"/>
        </w:rPr>
        <w:t xml:space="preserve"> </w:t>
      </w:r>
      <w:r w:rsidRPr="00E83DCC">
        <w:rPr>
          <w:rFonts w:ascii="FT Base" w:hAnsi="FT Base"/>
        </w:rPr>
        <w:t xml:space="preserve">Essentially, a unit </w:t>
      </w:r>
      <w:r w:rsidR="008B723F" w:rsidRPr="00E83DCC">
        <w:rPr>
          <w:rFonts w:ascii="FT Base" w:hAnsi="FT Base"/>
        </w:rPr>
        <w:t>must</w:t>
      </w:r>
      <w:r w:rsidRPr="00E83DCC">
        <w:rPr>
          <w:rFonts w:ascii="FT Base" w:hAnsi="FT Base"/>
        </w:rPr>
        <w:t xml:space="preserve"> have this permit complete within six months of the time the Class Year is complete.</w:t>
      </w:r>
      <w:r w:rsidR="008B723F">
        <w:rPr>
          <w:rFonts w:ascii="FT Base" w:hAnsi="FT Base"/>
        </w:rPr>
        <w:t xml:space="preserve"> </w:t>
      </w:r>
      <w:r w:rsidRPr="00E83DCC">
        <w:rPr>
          <w:rFonts w:ascii="FT Base" w:hAnsi="FT Base"/>
        </w:rPr>
        <w:t>In the experience of EDP Renewables, this timing presents a problem.</w:t>
      </w:r>
      <w:r w:rsidR="008B723F">
        <w:rPr>
          <w:rFonts w:ascii="FT Base" w:hAnsi="FT Base"/>
        </w:rPr>
        <w:t xml:space="preserve"> </w:t>
      </w:r>
      <w:r w:rsidRPr="00E83DCC">
        <w:rPr>
          <w:rFonts w:ascii="FT Base" w:hAnsi="FT Base"/>
        </w:rPr>
        <w:t>Concerns about missing this deadline has multiple impacts:</w:t>
      </w:r>
    </w:p>
    <w:p w14:paraId="5FAD7338" w14:textId="77777777" w:rsidR="008B723F" w:rsidRPr="00E83DCC" w:rsidRDefault="008B723F" w:rsidP="008B723F">
      <w:pPr>
        <w:rPr>
          <w:rFonts w:ascii="FT Base" w:hAnsi="FT Base"/>
        </w:rPr>
      </w:pPr>
    </w:p>
    <w:p w14:paraId="4CB19CE1" w14:textId="77777777" w:rsidR="001A376F" w:rsidRPr="00E83DCC" w:rsidRDefault="001A376F" w:rsidP="008B723F">
      <w:pPr>
        <w:pStyle w:val="ListParagraph"/>
        <w:numPr>
          <w:ilvl w:val="0"/>
          <w:numId w:val="1"/>
        </w:numPr>
        <w:spacing w:line="240" w:lineRule="auto"/>
        <w:ind w:firstLine="0"/>
        <w:rPr>
          <w:rFonts w:ascii="FT Base" w:hAnsi="FT Base"/>
          <w:sz w:val="20"/>
          <w:szCs w:val="20"/>
        </w:rPr>
      </w:pPr>
      <w:r w:rsidRPr="00E83DCC">
        <w:rPr>
          <w:rFonts w:ascii="FT Base" w:hAnsi="FT Base"/>
          <w:sz w:val="20"/>
          <w:szCs w:val="20"/>
        </w:rPr>
        <w:t>The loss of the second part of the deposit</w:t>
      </w:r>
    </w:p>
    <w:p w14:paraId="54DC540E" w14:textId="77777777" w:rsidR="001A376F" w:rsidRPr="00E83DCC" w:rsidRDefault="001A376F" w:rsidP="008B723F">
      <w:pPr>
        <w:pStyle w:val="ListParagraph"/>
        <w:numPr>
          <w:ilvl w:val="0"/>
          <w:numId w:val="1"/>
        </w:numPr>
        <w:spacing w:line="240" w:lineRule="auto"/>
        <w:ind w:firstLine="0"/>
        <w:rPr>
          <w:rFonts w:ascii="FT Base" w:hAnsi="FT Base"/>
          <w:sz w:val="20"/>
          <w:szCs w:val="20"/>
        </w:rPr>
      </w:pPr>
      <w:r w:rsidRPr="00E83DCC">
        <w:rPr>
          <w:rFonts w:ascii="FT Base" w:hAnsi="FT Base"/>
          <w:sz w:val="20"/>
          <w:szCs w:val="20"/>
        </w:rPr>
        <w:t>The loss of queue position by virtue of being withdrawn</w:t>
      </w:r>
    </w:p>
    <w:p w14:paraId="239181A4" w14:textId="77777777" w:rsidR="001A376F" w:rsidRPr="00E83DCC" w:rsidRDefault="001A376F" w:rsidP="008B723F">
      <w:pPr>
        <w:pStyle w:val="ListParagraph"/>
        <w:numPr>
          <w:ilvl w:val="0"/>
          <w:numId w:val="1"/>
        </w:numPr>
        <w:spacing w:line="240" w:lineRule="auto"/>
        <w:ind w:firstLine="0"/>
        <w:rPr>
          <w:rFonts w:ascii="FT Base" w:hAnsi="FT Base"/>
          <w:sz w:val="20"/>
          <w:szCs w:val="20"/>
        </w:rPr>
      </w:pPr>
      <w:r w:rsidRPr="00E83DCC">
        <w:rPr>
          <w:rFonts w:ascii="FT Base" w:hAnsi="FT Base"/>
          <w:sz w:val="20"/>
          <w:szCs w:val="20"/>
        </w:rPr>
        <w:t>The need to re-enter the interconnection process</w:t>
      </w:r>
    </w:p>
    <w:p w14:paraId="20274147" w14:textId="3B6A404F" w:rsidR="001A376F" w:rsidRPr="00E83DCC" w:rsidRDefault="001A376F" w:rsidP="008B723F">
      <w:pPr>
        <w:rPr>
          <w:rFonts w:ascii="FT Base" w:hAnsi="FT Base"/>
        </w:rPr>
      </w:pPr>
      <w:r w:rsidRPr="00E83DCC">
        <w:rPr>
          <w:rFonts w:ascii="FT Base" w:hAnsi="FT Base"/>
        </w:rPr>
        <w:lastRenderedPageBreak/>
        <w:t xml:space="preserve">These risks can be mitigated by extending the </w:t>
      </w:r>
      <w:proofErr w:type="gramStart"/>
      <w:r w:rsidRPr="00E83DCC">
        <w:rPr>
          <w:rFonts w:ascii="FT Base" w:hAnsi="FT Base"/>
        </w:rPr>
        <w:t>time period</w:t>
      </w:r>
      <w:proofErr w:type="gramEnd"/>
      <w:r w:rsidRPr="00E83DCC">
        <w:rPr>
          <w:rFonts w:ascii="FT Base" w:hAnsi="FT Base"/>
        </w:rPr>
        <w:t xml:space="preserve"> that a unit has to satisfy the “regulatory milestone” after the completion of the Class Year.</w:t>
      </w:r>
      <w:r w:rsidR="0069687C">
        <w:rPr>
          <w:rFonts w:ascii="FT Base" w:hAnsi="FT Base"/>
        </w:rPr>
        <w:t xml:space="preserve"> </w:t>
      </w:r>
      <w:r w:rsidRPr="00E83DCC">
        <w:rPr>
          <w:rFonts w:ascii="FT Base" w:hAnsi="FT Base"/>
        </w:rPr>
        <w:t>EDP Renewables believes that 18 months would be a sufficient period.</w:t>
      </w:r>
    </w:p>
    <w:p w14:paraId="77D84C37" w14:textId="701F186C" w:rsidR="0069687C" w:rsidRDefault="00D11872" w:rsidP="008B723F">
      <w:pPr>
        <w:rPr>
          <w:rFonts w:ascii="FT Base" w:hAnsi="FT Base"/>
        </w:rPr>
      </w:pPr>
      <w:r w:rsidRPr="00E83DCC">
        <w:rPr>
          <w:rFonts w:ascii="FT Base" w:hAnsi="FT Base"/>
        </w:rPr>
        <w:br/>
        <w:t>Sincerely,</w:t>
      </w:r>
      <w:r w:rsidRPr="00E83DCC">
        <w:rPr>
          <w:rFonts w:ascii="FT Base" w:hAnsi="FT Base"/>
        </w:rPr>
        <w:br/>
      </w:r>
      <w:r w:rsidRPr="00E83DCC">
        <w:rPr>
          <w:rFonts w:ascii="FT Base" w:hAnsi="FT Base"/>
        </w:rPr>
        <w:br/>
      </w:r>
      <w:r w:rsidR="00AF6EF0">
        <w:rPr>
          <w:rFonts w:ascii="FT Base" w:hAnsi="FT Base"/>
        </w:rPr>
        <w:t xml:space="preserve">John </w:t>
      </w:r>
      <w:proofErr w:type="spellStart"/>
      <w:r w:rsidR="00AF6EF0">
        <w:rPr>
          <w:rFonts w:ascii="FT Base" w:hAnsi="FT Base"/>
        </w:rPr>
        <w:t>Brodbeck</w:t>
      </w:r>
      <w:proofErr w:type="spellEnd"/>
    </w:p>
    <w:p w14:paraId="73F8CBA3" w14:textId="4052858B" w:rsidR="00AF6EF0" w:rsidRDefault="00AF6EF0" w:rsidP="008B723F">
      <w:pPr>
        <w:rPr>
          <w:rFonts w:ascii="FT Base" w:hAnsi="FT Base"/>
        </w:rPr>
      </w:pPr>
      <w:r>
        <w:rPr>
          <w:rFonts w:ascii="FT Base" w:hAnsi="FT Base"/>
        </w:rPr>
        <w:t>EDP Renewables North America</w:t>
      </w:r>
    </w:p>
    <w:p w14:paraId="38DA0628" w14:textId="1B115D2F" w:rsidR="00AF6EF0" w:rsidRDefault="00AF6EF0" w:rsidP="008B723F">
      <w:pPr>
        <w:rPr>
          <w:rFonts w:ascii="FT Base" w:hAnsi="FT Base"/>
        </w:rPr>
      </w:pPr>
      <w:r>
        <w:rPr>
          <w:rFonts w:ascii="FT Base" w:hAnsi="FT Base"/>
        </w:rPr>
        <w:t>Sr Manager Transmission</w:t>
      </w:r>
    </w:p>
    <w:sectPr w:rsidR="00AF6EF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E03AE" w14:textId="77777777" w:rsidR="00F12F79" w:rsidRDefault="00F12F79" w:rsidP="00D11872">
      <w:r>
        <w:separator/>
      </w:r>
    </w:p>
  </w:endnote>
  <w:endnote w:type="continuationSeparator" w:id="0">
    <w:p w14:paraId="23A4AC63" w14:textId="77777777" w:rsidR="00F12F79" w:rsidRDefault="00F12F79" w:rsidP="00D11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T Base">
    <w:charset w:val="00"/>
    <w:family w:val="auto"/>
    <w:pitch w:val="variable"/>
    <w:sig w:usb0="A000006F" w:usb1="4000003A" w:usb2="00000000" w:usb3="00000000" w:csb0="00000011" w:csb1="00000000"/>
    <w:embedRegular r:id="rId1" w:fontKey="{857D455C-1A99-4B2C-B612-3983CC69648C}"/>
  </w:font>
  <w:font w:name="FT Base Light">
    <w:charset w:val="00"/>
    <w:family w:val="auto"/>
    <w:pitch w:val="variable"/>
    <w:sig w:usb0="A000006F" w:usb1="4000003A" w:usb2="00000000" w:usb3="00000000" w:csb0="00000011" w:csb1="00000000"/>
    <w:embedRegular r:id="rId2" w:fontKey="{465A1A82-7EFD-4268-8134-DE257AC96FE3}"/>
  </w:font>
  <w:font w:name="FT Base Book">
    <w:charset w:val="00"/>
    <w:family w:val="auto"/>
    <w:pitch w:val="variable"/>
    <w:sig w:usb0="A000006F" w:usb1="4000003A" w:usb2="00000000" w:usb3="00000000" w:csb0="00000011" w:csb1="00000000"/>
    <w:embedRegular r:id="rId3" w:subsetted="1" w:fontKey="{20BFA71E-A06E-442D-909C-C41D3DA0C54B}"/>
  </w:font>
  <w:font w:name="FT Base Semibold">
    <w:charset w:val="00"/>
    <w:family w:val="auto"/>
    <w:pitch w:val="variable"/>
    <w:sig w:usb0="A000006F" w:usb1="4000003A" w:usb2="00000000" w:usb3="00000000" w:csb0="00000011" w:csb1="00000000"/>
    <w:embedRegular r:id="rId4" w:subsetted="1" w:fontKey="{FC496FA6-64E8-4C55-9C2C-442B07AC0519}"/>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A178" w14:textId="77777777" w:rsidR="00D11872" w:rsidRPr="008079EE" w:rsidRDefault="008079EE" w:rsidP="00D11872">
    <w:pPr>
      <w:spacing w:line="276" w:lineRule="auto"/>
      <w:rPr>
        <w:rFonts w:ascii="FT Base Light" w:eastAsia="Calibri" w:hAnsi="FT Base Light" w:cs="Times New Roman"/>
        <w:sz w:val="14"/>
        <w:szCs w:val="14"/>
      </w:rPr>
    </w:pPr>
    <w:r w:rsidRPr="008079EE">
      <w:rPr>
        <w:rFonts w:ascii="FT Base Light" w:eastAsia="Calibri" w:hAnsi="FT Base Light" w:cs="Times New Roman"/>
        <w:noProof/>
        <w:sz w:val="14"/>
        <w:szCs w:val="14"/>
      </w:rPr>
      <mc:AlternateContent>
        <mc:Choice Requires="wps">
          <w:drawing>
            <wp:anchor distT="45720" distB="45720" distL="114300" distR="114300" simplePos="0" relativeHeight="251657216" behindDoc="0" locked="0" layoutInCell="1" allowOverlap="1" wp14:anchorId="7F11361E" wp14:editId="52560F9D">
              <wp:simplePos x="0" y="0"/>
              <wp:positionH relativeFrom="column">
                <wp:posOffset>-448945</wp:posOffset>
              </wp:positionH>
              <wp:positionV relativeFrom="paragraph">
                <wp:posOffset>255270</wp:posOffset>
              </wp:positionV>
              <wp:extent cx="3234690" cy="259080"/>
              <wp:effectExtent l="0" t="0" r="381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690" cy="259080"/>
                      </a:xfrm>
                      <a:prstGeom prst="rect">
                        <a:avLst/>
                      </a:prstGeom>
                      <a:solidFill>
                        <a:srgbClr val="FFFFFF"/>
                      </a:solidFill>
                      <a:ln w="9525">
                        <a:noFill/>
                        <a:miter lim="800000"/>
                        <a:headEnd/>
                        <a:tailEnd/>
                      </a:ln>
                    </wps:spPr>
                    <wps:txbx>
                      <w:txbxContent>
                        <w:p w14:paraId="09A42281" w14:textId="77777777" w:rsidR="00D11872" w:rsidRPr="004A0036" w:rsidRDefault="00D11872">
                          <w:pPr>
                            <w:rPr>
                              <w:rFonts w:ascii="FT Base Book" w:hAnsi="FT Base Book"/>
                              <w:color w:val="767171" w:themeColor="background2" w:themeShade="80"/>
                              <w:spacing w:val="20"/>
                              <w:sz w:val="22"/>
                              <w:szCs w:val="22"/>
                            </w:rPr>
                          </w:pPr>
                          <w:r w:rsidRPr="004A0036">
                            <w:rPr>
                              <w:rFonts w:ascii="FT Base Book" w:hAnsi="FT Base Book"/>
                              <w:color w:val="767171" w:themeColor="background2" w:themeShade="80"/>
                              <w:spacing w:val="20"/>
                              <w:sz w:val="22"/>
                              <w:szCs w:val="22"/>
                            </w:rPr>
                            <w:t>www.edpr.com/north-america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11361E" id="_x0000_t202" coordsize="21600,21600" o:spt="202" path="m,l,21600r21600,l21600,xe">
              <v:stroke joinstyle="miter"/>
              <v:path gradientshapeok="t" o:connecttype="rect"/>
            </v:shapetype>
            <v:shape id="Text Box 2" o:spid="_x0000_s1026" type="#_x0000_t202" style="position:absolute;margin-left:-35.35pt;margin-top:20.1pt;width:254.7pt;height:20.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P5FBAIAAOYDAAAOAAAAZHJzL2Uyb0RvYy54bWysU9tu2zAMfR+wfxD0vthJlyIx4hRdugwD&#10;ugvQ7QNkWY6FyaJGKbGzrx8lO+nQvQ3Tg0BJ5CF5eLS5GzrDTgq9Blvy+SznTFkJtbaHkn//tn+z&#10;4swHYWthwKqSn5Xnd9vXrza9K9QCWjC1QkYg1he9K3kbgiuyzMtWdcLPwClLjw1gJwId8ZDVKHpC&#10;70y2yPPbrAesHYJU3tPtw/jItwm/aZQMX5rGq8BMyam2kHZMexX3bLsRxQGFa7WcyhD/UEUntKWk&#10;V6gHEQQ7ov4LqtMSwUMTZhK6DJpGS5V6oG7m+YtunlrhVOqFyPHuSpP/f7Dy8+nJfUUWhncw0ABT&#10;E949gvzhmYVdK+xB3SNC3ypRU+J5pCzrnS+m0Ei1L3wEqfpPUNOQxTFAAhoa7CIr1CcjdBrA+Uq6&#10;GgKTdHmzuHl7u6YnSW+L5TpfpalkorhEO/Thg4KORaPkSENN6OL06EOsRhQXl5jMg9H1XhuTDnio&#10;dgbZSZAA9mmlBl64Gcv6kq+Xi2VCthDjkzY6HUigRnclX+VxjZKJbLy3dXIJQpvRpkqMneiJjIzc&#10;hKEayDHSVEF9JqIQRiHSxyGjBfzFWU8iLLn/eRSoODMfLZEdFXsx8GJUF0NYSaElD5yN5i4kZce+&#10;LdzTEBqd+HnOPNVGYkq0TcKPav3znLyev+f2NwAAAP//AwBQSwMEFAAGAAgAAAAhALUHXjPfAAAA&#10;CQEAAA8AAABkcnMvZG93bnJldi54bWxMj8FOwzAMhu9IvENkJC5oS1amrSpNJ9jgBoeNaeesMW1F&#10;41RNunZvjznB0fan39+fbybXigv2ofGkYTFXIJBKbxuqNBw/32YpiBANWdN6Qg1XDLApbm9yk1k/&#10;0h4vh1gJDqGQGQ11jF0mZShrdCbMfYfEty/fOxN57CtpezNyuGtlotRKOtMQf6hNh9say+/D4DSs&#10;dv0w7mn7sDu+vpuPrkpOL9eT1vd30/MTiIhT/IPhV5/VoWCnsx/IBtFqmK3VmlENS5WAYGD5mPLi&#10;rCFdKJBFLv83KH4AAAD//wMAUEsBAi0AFAAGAAgAAAAhALaDOJL+AAAA4QEAABMAAAAAAAAAAAAA&#10;AAAAAAAAAFtDb250ZW50X1R5cGVzXS54bWxQSwECLQAUAAYACAAAACEAOP0h/9YAAACUAQAACwAA&#10;AAAAAAAAAAAAAAAvAQAAX3JlbHMvLnJlbHNQSwECLQAUAAYACAAAACEARvT+RQQCAADmAwAADgAA&#10;AAAAAAAAAAAAAAAuAgAAZHJzL2Uyb0RvYy54bWxQSwECLQAUAAYACAAAACEAtQdeM98AAAAJAQAA&#10;DwAAAAAAAAAAAAAAAABeBAAAZHJzL2Rvd25yZXYueG1sUEsFBgAAAAAEAAQA8wAAAGoFAAAAAA==&#10;" stroked="f">
              <v:textbox inset="0,0,0,0">
                <w:txbxContent>
                  <w:p w14:paraId="09A42281" w14:textId="77777777" w:rsidR="00D11872" w:rsidRPr="004A0036" w:rsidRDefault="00D11872">
                    <w:pPr>
                      <w:rPr>
                        <w:rFonts w:ascii="FT Base Book" w:hAnsi="FT Base Book"/>
                        <w:color w:val="767171" w:themeColor="background2" w:themeShade="80"/>
                        <w:spacing w:val="20"/>
                        <w:sz w:val="22"/>
                        <w:szCs w:val="22"/>
                      </w:rPr>
                    </w:pPr>
                    <w:r w:rsidRPr="004A0036">
                      <w:rPr>
                        <w:rFonts w:ascii="FT Base Book" w:hAnsi="FT Base Book"/>
                        <w:color w:val="767171" w:themeColor="background2" w:themeShade="80"/>
                        <w:spacing w:val="20"/>
                        <w:sz w:val="22"/>
                        <w:szCs w:val="22"/>
                      </w:rPr>
                      <w:t>www.edpr.com/north-america</w:t>
                    </w:r>
                  </w:p>
                </w:txbxContent>
              </v:textbox>
            </v:shape>
          </w:pict>
        </mc:Fallback>
      </mc:AlternateContent>
    </w:r>
    <w:r w:rsidR="00622D39" w:rsidRPr="008079EE">
      <w:rPr>
        <w:rFonts w:ascii="FT Base Light" w:eastAsia="Calibri" w:hAnsi="FT Base Light" w:cs="Times New Roman"/>
        <w:noProof/>
        <w:sz w:val="14"/>
        <w:szCs w:val="14"/>
      </w:rPr>
      <mc:AlternateContent>
        <mc:Choice Requires="wps">
          <w:drawing>
            <wp:anchor distT="45720" distB="45720" distL="114300" distR="114300" simplePos="0" relativeHeight="251663360" behindDoc="0" locked="0" layoutInCell="1" allowOverlap="1" wp14:anchorId="4AA1D778" wp14:editId="3DD403D7">
              <wp:simplePos x="0" y="0"/>
              <wp:positionH relativeFrom="column">
                <wp:posOffset>3028950</wp:posOffset>
              </wp:positionH>
              <wp:positionV relativeFrom="paragraph">
                <wp:posOffset>-285750</wp:posOffset>
              </wp:positionV>
              <wp:extent cx="3908425" cy="782955"/>
              <wp:effectExtent l="0" t="0" r="762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8425" cy="782955"/>
                      </a:xfrm>
                      <a:prstGeom prst="rect">
                        <a:avLst/>
                      </a:prstGeom>
                      <a:solidFill>
                        <a:srgbClr val="FFFFFF"/>
                      </a:solidFill>
                      <a:ln w="9525">
                        <a:noFill/>
                        <a:miter lim="800000"/>
                        <a:headEnd/>
                        <a:tailEnd/>
                      </a:ln>
                    </wps:spPr>
                    <wps:txbx>
                      <w:txbxContent>
                        <w:p w14:paraId="54D9CA49" w14:textId="77777777" w:rsidR="00D11872" w:rsidRPr="00060C84" w:rsidRDefault="00D11872" w:rsidP="00F04CCA">
                          <w:pPr>
                            <w:jc w:val="right"/>
                            <w:rPr>
                              <w:rFonts w:ascii="FT Base Semibold" w:hAnsi="FT Base Semibold"/>
                              <w:color w:val="767171" w:themeColor="background2" w:themeShade="80"/>
                              <w:spacing w:val="20"/>
                              <w:sz w:val="22"/>
                              <w:szCs w:val="22"/>
                            </w:rPr>
                          </w:pPr>
                          <w:r w:rsidRPr="00060C84">
                            <w:rPr>
                              <w:rFonts w:ascii="FT Base Semibold" w:hAnsi="FT Base Semibold"/>
                              <w:color w:val="767171" w:themeColor="background2" w:themeShade="80"/>
                              <w:spacing w:val="20"/>
                              <w:sz w:val="22"/>
                              <w:szCs w:val="22"/>
                            </w:rPr>
                            <w:t>EDP Renewables North America LLC</w:t>
                          </w:r>
                        </w:p>
                        <w:p w14:paraId="423226F7" w14:textId="77777777" w:rsidR="00DD5B75"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Corporate Headquarters</w:t>
                          </w:r>
                        </w:p>
                        <w:p w14:paraId="190DA068" w14:textId="77777777" w:rsidR="00DD5B75"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 xml:space="preserve">1501 McKinney Street, Suite 1300, Houston, TX 77010 </w:t>
                          </w:r>
                        </w:p>
                        <w:p w14:paraId="3ACF84FB" w14:textId="77777777" w:rsidR="00F10067"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For USPS Mail</w:t>
                          </w:r>
                          <w:r w:rsidR="00405850" w:rsidRPr="00060C84">
                            <w:rPr>
                              <w:rFonts w:ascii="FT Base Light" w:hAnsi="FT Base Light"/>
                              <w:color w:val="767171" w:themeColor="background2" w:themeShade="80"/>
                              <w:spacing w:val="20"/>
                              <w:sz w:val="18"/>
                              <w:szCs w:val="18"/>
                            </w:rPr>
                            <w:t xml:space="preserve">: </w:t>
                          </w:r>
                          <w:r w:rsidRPr="00060C84">
                            <w:rPr>
                              <w:rFonts w:ascii="FT Base Light" w:hAnsi="FT Base Light"/>
                              <w:color w:val="767171" w:themeColor="background2" w:themeShade="80"/>
                              <w:spacing w:val="20"/>
                              <w:sz w:val="18"/>
                              <w:szCs w:val="18"/>
                            </w:rPr>
                            <w:t xml:space="preserve">P.O. Box 3827, Houston, TX 77253 </w:t>
                          </w:r>
                        </w:p>
                        <w:p w14:paraId="462D6ACC" w14:textId="77777777" w:rsidR="00D11872"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 xml:space="preserve"> T: 713</w:t>
                          </w:r>
                          <w:r w:rsidR="00B3676C" w:rsidRPr="00060C84">
                            <w:rPr>
                              <w:rFonts w:ascii="FT Base Light" w:hAnsi="FT Base Light"/>
                              <w:color w:val="767171" w:themeColor="background2" w:themeShade="80"/>
                              <w:spacing w:val="20"/>
                              <w:sz w:val="18"/>
                              <w:szCs w:val="18"/>
                            </w:rPr>
                            <w:t>.</w:t>
                          </w:r>
                          <w:r w:rsidRPr="00060C84">
                            <w:rPr>
                              <w:rFonts w:ascii="FT Base Light" w:hAnsi="FT Base Light"/>
                              <w:color w:val="767171" w:themeColor="background2" w:themeShade="80"/>
                              <w:spacing w:val="20"/>
                              <w:sz w:val="18"/>
                              <w:szCs w:val="18"/>
                            </w:rPr>
                            <w:t>265</w:t>
                          </w:r>
                          <w:r w:rsidR="00B3676C" w:rsidRPr="00060C84">
                            <w:rPr>
                              <w:rFonts w:ascii="FT Base Light" w:hAnsi="FT Base Light"/>
                              <w:color w:val="767171" w:themeColor="background2" w:themeShade="80"/>
                              <w:spacing w:val="20"/>
                              <w:sz w:val="18"/>
                              <w:szCs w:val="18"/>
                            </w:rPr>
                            <w:t>.</w:t>
                          </w:r>
                          <w:r w:rsidRPr="00060C84">
                            <w:rPr>
                              <w:rFonts w:ascii="FT Base Light" w:hAnsi="FT Base Light"/>
                              <w:color w:val="767171" w:themeColor="background2" w:themeShade="80"/>
                              <w:spacing w:val="20"/>
                              <w:sz w:val="18"/>
                              <w:szCs w:val="18"/>
                            </w:rPr>
                            <w:t xml:space="preserve">0350 </w:t>
                          </w:r>
                          <w:r w:rsidR="00405850" w:rsidRPr="00060C84">
                            <w:rPr>
                              <w:rFonts w:ascii="FT Base Light" w:hAnsi="FT Base Light"/>
                              <w:color w:val="767171" w:themeColor="background2" w:themeShade="80"/>
                              <w:spacing w:val="20"/>
                              <w:sz w:val="18"/>
                              <w:szCs w:val="18"/>
                            </w:rPr>
                            <w:t xml:space="preserve">| </w:t>
                          </w:r>
                          <w:r w:rsidRPr="00060C84">
                            <w:rPr>
                              <w:rFonts w:ascii="FT Base Light" w:hAnsi="FT Base Light"/>
                              <w:color w:val="767171" w:themeColor="background2" w:themeShade="80"/>
                              <w:spacing w:val="20"/>
                              <w:sz w:val="18"/>
                              <w:szCs w:val="18"/>
                            </w:rPr>
                            <w:t>F: 713</w:t>
                          </w:r>
                          <w:r w:rsidR="00B3676C" w:rsidRPr="00060C84">
                            <w:rPr>
                              <w:rFonts w:ascii="FT Base Light" w:hAnsi="FT Base Light"/>
                              <w:color w:val="767171" w:themeColor="background2" w:themeShade="80"/>
                              <w:spacing w:val="20"/>
                              <w:sz w:val="18"/>
                              <w:szCs w:val="18"/>
                            </w:rPr>
                            <w:t>.</w:t>
                          </w:r>
                          <w:r w:rsidR="0039088E" w:rsidRPr="00060C84">
                            <w:rPr>
                              <w:rFonts w:ascii="FT Base Light" w:hAnsi="FT Base Light"/>
                              <w:color w:val="767171" w:themeColor="background2" w:themeShade="80"/>
                              <w:spacing w:val="20"/>
                              <w:sz w:val="18"/>
                              <w:szCs w:val="18"/>
                            </w:rPr>
                            <w:t>583</w:t>
                          </w:r>
                          <w:r w:rsidR="00B3676C" w:rsidRPr="00060C84">
                            <w:rPr>
                              <w:rFonts w:ascii="FT Base Light" w:hAnsi="FT Base Light"/>
                              <w:color w:val="767171" w:themeColor="background2" w:themeShade="80"/>
                              <w:spacing w:val="20"/>
                              <w:sz w:val="18"/>
                              <w:szCs w:val="18"/>
                            </w:rPr>
                            <w:t>.</w:t>
                          </w:r>
                          <w:r w:rsidR="0039088E" w:rsidRPr="00060C84">
                            <w:rPr>
                              <w:rFonts w:ascii="FT Base Light" w:hAnsi="FT Base Light"/>
                              <w:color w:val="767171" w:themeColor="background2" w:themeShade="80"/>
                              <w:spacing w:val="20"/>
                              <w:sz w:val="18"/>
                              <w:szCs w:val="18"/>
                            </w:rPr>
                            <w:t>3630</w:t>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AA1D778" id="_x0000_s1027" type="#_x0000_t202" style="position:absolute;margin-left:238.5pt;margin-top:-22.5pt;width:307.75pt;height:61.65pt;z-index:251663360;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jYhAwIAAOsDAAAOAAAAZHJzL2Uyb0RvYy54bWysU9uO2yAQfa/Uf0C8N3bSpk2sOKtttqkq&#10;bS/Sth+AAceowCBgY6df3wHb2V7eqvKABpg5M3PmsLsZjCZn6YMCW9PloqREWg5C2VNNv309vthQ&#10;EiKzgmmwsqYXGejN/vmzXe8quYIOtJCeIIgNVe9q2sXoqqIIvJOGhQU4afGxBW9YxKM/FcKzHtGN&#10;LlZl+browQvngcsQ8PZufKT7jN+2ksfPbRtkJLqmWFvMu897k/Ziv2PVyTPXKT6Vwf6hCsOUxaRX&#10;qDsWGXn06i8oo7iHAG1ccDAFtK3iMveA3SzLP7p56JiTuRckJ7grTeH/wfJP5wf3xZM4vIUBB5ib&#10;CO4e+PdALBw6Zk/y1nvoO8kEJl4myorehWoKTVSHKiSQpv8IAofMHiNkoKH1JrGCfRJExwFcrqTL&#10;IRKOly+35ebVak0Jx7c3m9V2vc4pWDVHOx/iewmGJKOmHoea0dn5PsRUDatml5QsgFbiqLTOB39q&#10;DtqTM0MBHPOa0H9z05b0Nd2usY4UZSHFZ20YFVGgWpmabsq0RskkNt5ZkV0iU3q0sRJtJ3oSIyM3&#10;cWgGosTEXWKrAXFBvjyMesT/g0YH/gclPWqxphY/CyX6g0XGk2xnw89GMxvMcgysaaRkNA8xy3ts&#10;4xYn0apM0lPeqUBUVOZuUn+S7K/n7PX0R/c/AQAA//8DAFBLAwQUAAYACAAAACEAbqACSuAAAAAL&#10;AQAADwAAAGRycy9kb3ducmV2LnhtbEyPzW6DMBCE75X6DtZW6i0xSUOhFBNVkfqj3JLyAA7eAApe&#10;E9v89O3rnNrbrGY0+02+nXXHRrSuNSRgtYyAIVVGtVQLKL/fFykw5yUp2RlCAT/oYFvc3+UyU2ai&#10;A45HX7NQQi6TAhrv+4xzVzWopVuaHil4Z2O19OG0NVdWTqFcd3wdRc9cy5bCh0b2uGuwuhwHLWBw&#10;56k7pOMey69dXH5ck/jzaoV4fJjfXoF5nP1fGG74AR2KwHQyAynHOgGbJAlbvIDFJg7ilohe1jGw&#10;k4AkfQJe5Pz/huIXAAD//wMAUEsBAi0AFAAGAAgAAAAhALaDOJL+AAAA4QEAABMAAAAAAAAAAAAA&#10;AAAAAAAAAFtDb250ZW50X1R5cGVzXS54bWxQSwECLQAUAAYACAAAACEAOP0h/9YAAACUAQAACwAA&#10;AAAAAAAAAAAAAAAvAQAAX3JlbHMvLnJlbHNQSwECLQAUAAYACAAAACEAoPY2IQMCAADrAwAADgAA&#10;AAAAAAAAAAAAAAAuAgAAZHJzL2Uyb0RvYy54bWxQSwECLQAUAAYACAAAACEAbqACSuAAAAALAQAA&#10;DwAAAAAAAAAAAAAAAABdBAAAZHJzL2Rvd25yZXYueG1sUEsFBgAAAAAEAAQA8wAAAGoFAAAAAA==&#10;" stroked="f">
              <v:textbox inset="0,0,0,0">
                <w:txbxContent>
                  <w:p w14:paraId="54D9CA49" w14:textId="77777777" w:rsidR="00D11872" w:rsidRPr="00060C84" w:rsidRDefault="00D11872" w:rsidP="00F04CCA">
                    <w:pPr>
                      <w:jc w:val="right"/>
                      <w:rPr>
                        <w:rFonts w:ascii="FT Base Semibold" w:hAnsi="FT Base Semibold"/>
                        <w:color w:val="767171" w:themeColor="background2" w:themeShade="80"/>
                        <w:spacing w:val="20"/>
                        <w:sz w:val="22"/>
                        <w:szCs w:val="22"/>
                      </w:rPr>
                    </w:pPr>
                    <w:r w:rsidRPr="00060C84">
                      <w:rPr>
                        <w:rFonts w:ascii="FT Base Semibold" w:hAnsi="FT Base Semibold"/>
                        <w:color w:val="767171" w:themeColor="background2" w:themeShade="80"/>
                        <w:spacing w:val="20"/>
                        <w:sz w:val="22"/>
                        <w:szCs w:val="22"/>
                      </w:rPr>
                      <w:t>EDP Renewables North America LLC</w:t>
                    </w:r>
                  </w:p>
                  <w:p w14:paraId="423226F7" w14:textId="77777777" w:rsidR="00DD5B75"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Corporate Headquarters</w:t>
                    </w:r>
                  </w:p>
                  <w:p w14:paraId="190DA068" w14:textId="77777777" w:rsidR="00DD5B75"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 xml:space="preserve">1501 McKinney Street, Suite 1300, Houston, TX 77010 </w:t>
                    </w:r>
                  </w:p>
                  <w:p w14:paraId="3ACF84FB" w14:textId="77777777" w:rsidR="00F10067"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For USPS Mail</w:t>
                    </w:r>
                    <w:r w:rsidR="00405850" w:rsidRPr="00060C84">
                      <w:rPr>
                        <w:rFonts w:ascii="FT Base Light" w:hAnsi="FT Base Light"/>
                        <w:color w:val="767171" w:themeColor="background2" w:themeShade="80"/>
                        <w:spacing w:val="20"/>
                        <w:sz w:val="18"/>
                        <w:szCs w:val="18"/>
                      </w:rPr>
                      <w:t xml:space="preserve">: </w:t>
                    </w:r>
                    <w:r w:rsidRPr="00060C84">
                      <w:rPr>
                        <w:rFonts w:ascii="FT Base Light" w:hAnsi="FT Base Light"/>
                        <w:color w:val="767171" w:themeColor="background2" w:themeShade="80"/>
                        <w:spacing w:val="20"/>
                        <w:sz w:val="18"/>
                        <w:szCs w:val="18"/>
                      </w:rPr>
                      <w:t xml:space="preserve">P.O. Box 3827, Houston, TX 77253 </w:t>
                    </w:r>
                  </w:p>
                  <w:p w14:paraId="462D6ACC" w14:textId="77777777" w:rsidR="00D11872" w:rsidRPr="00060C84" w:rsidRDefault="00DD5B75" w:rsidP="00DD5B75">
                    <w:pPr>
                      <w:jc w:val="right"/>
                      <w:rPr>
                        <w:rFonts w:ascii="FT Base Light" w:hAnsi="FT Base Light"/>
                        <w:color w:val="767171" w:themeColor="background2" w:themeShade="80"/>
                        <w:spacing w:val="20"/>
                        <w:sz w:val="18"/>
                        <w:szCs w:val="18"/>
                      </w:rPr>
                    </w:pPr>
                    <w:r w:rsidRPr="00060C84">
                      <w:rPr>
                        <w:rFonts w:ascii="FT Base Light" w:hAnsi="FT Base Light"/>
                        <w:color w:val="767171" w:themeColor="background2" w:themeShade="80"/>
                        <w:spacing w:val="20"/>
                        <w:sz w:val="18"/>
                        <w:szCs w:val="18"/>
                      </w:rPr>
                      <w:t xml:space="preserve"> T: 713</w:t>
                    </w:r>
                    <w:r w:rsidR="00B3676C" w:rsidRPr="00060C84">
                      <w:rPr>
                        <w:rFonts w:ascii="FT Base Light" w:hAnsi="FT Base Light"/>
                        <w:color w:val="767171" w:themeColor="background2" w:themeShade="80"/>
                        <w:spacing w:val="20"/>
                        <w:sz w:val="18"/>
                        <w:szCs w:val="18"/>
                      </w:rPr>
                      <w:t>.</w:t>
                    </w:r>
                    <w:r w:rsidRPr="00060C84">
                      <w:rPr>
                        <w:rFonts w:ascii="FT Base Light" w:hAnsi="FT Base Light"/>
                        <w:color w:val="767171" w:themeColor="background2" w:themeShade="80"/>
                        <w:spacing w:val="20"/>
                        <w:sz w:val="18"/>
                        <w:szCs w:val="18"/>
                      </w:rPr>
                      <w:t>265</w:t>
                    </w:r>
                    <w:r w:rsidR="00B3676C" w:rsidRPr="00060C84">
                      <w:rPr>
                        <w:rFonts w:ascii="FT Base Light" w:hAnsi="FT Base Light"/>
                        <w:color w:val="767171" w:themeColor="background2" w:themeShade="80"/>
                        <w:spacing w:val="20"/>
                        <w:sz w:val="18"/>
                        <w:szCs w:val="18"/>
                      </w:rPr>
                      <w:t>.</w:t>
                    </w:r>
                    <w:r w:rsidRPr="00060C84">
                      <w:rPr>
                        <w:rFonts w:ascii="FT Base Light" w:hAnsi="FT Base Light"/>
                        <w:color w:val="767171" w:themeColor="background2" w:themeShade="80"/>
                        <w:spacing w:val="20"/>
                        <w:sz w:val="18"/>
                        <w:szCs w:val="18"/>
                      </w:rPr>
                      <w:t xml:space="preserve">0350 </w:t>
                    </w:r>
                    <w:r w:rsidR="00405850" w:rsidRPr="00060C84">
                      <w:rPr>
                        <w:rFonts w:ascii="FT Base Light" w:hAnsi="FT Base Light"/>
                        <w:color w:val="767171" w:themeColor="background2" w:themeShade="80"/>
                        <w:spacing w:val="20"/>
                        <w:sz w:val="18"/>
                        <w:szCs w:val="18"/>
                      </w:rPr>
                      <w:t xml:space="preserve">| </w:t>
                    </w:r>
                    <w:r w:rsidRPr="00060C84">
                      <w:rPr>
                        <w:rFonts w:ascii="FT Base Light" w:hAnsi="FT Base Light"/>
                        <w:color w:val="767171" w:themeColor="background2" w:themeShade="80"/>
                        <w:spacing w:val="20"/>
                        <w:sz w:val="18"/>
                        <w:szCs w:val="18"/>
                      </w:rPr>
                      <w:t>F: 713</w:t>
                    </w:r>
                    <w:r w:rsidR="00B3676C" w:rsidRPr="00060C84">
                      <w:rPr>
                        <w:rFonts w:ascii="FT Base Light" w:hAnsi="FT Base Light"/>
                        <w:color w:val="767171" w:themeColor="background2" w:themeShade="80"/>
                        <w:spacing w:val="20"/>
                        <w:sz w:val="18"/>
                        <w:szCs w:val="18"/>
                      </w:rPr>
                      <w:t>.</w:t>
                    </w:r>
                    <w:r w:rsidR="0039088E" w:rsidRPr="00060C84">
                      <w:rPr>
                        <w:rFonts w:ascii="FT Base Light" w:hAnsi="FT Base Light"/>
                        <w:color w:val="767171" w:themeColor="background2" w:themeShade="80"/>
                        <w:spacing w:val="20"/>
                        <w:sz w:val="18"/>
                        <w:szCs w:val="18"/>
                      </w:rPr>
                      <w:t>583</w:t>
                    </w:r>
                    <w:r w:rsidR="00B3676C" w:rsidRPr="00060C84">
                      <w:rPr>
                        <w:rFonts w:ascii="FT Base Light" w:hAnsi="FT Base Light"/>
                        <w:color w:val="767171" w:themeColor="background2" w:themeShade="80"/>
                        <w:spacing w:val="20"/>
                        <w:sz w:val="18"/>
                        <w:szCs w:val="18"/>
                      </w:rPr>
                      <w:t>.</w:t>
                    </w:r>
                    <w:r w:rsidR="0039088E" w:rsidRPr="00060C84">
                      <w:rPr>
                        <w:rFonts w:ascii="FT Base Light" w:hAnsi="FT Base Light"/>
                        <w:color w:val="767171" w:themeColor="background2" w:themeShade="80"/>
                        <w:spacing w:val="20"/>
                        <w:sz w:val="18"/>
                        <w:szCs w:val="18"/>
                      </w:rPr>
                      <w:t>3630</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B0C35" w14:textId="77777777" w:rsidR="00F12F79" w:rsidRDefault="00F12F79" w:rsidP="00D11872">
      <w:r>
        <w:separator/>
      </w:r>
    </w:p>
  </w:footnote>
  <w:footnote w:type="continuationSeparator" w:id="0">
    <w:p w14:paraId="0D1D924A" w14:textId="77777777" w:rsidR="00F12F79" w:rsidRDefault="00F12F79" w:rsidP="00D11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041C" w14:textId="77777777" w:rsidR="00D11872" w:rsidRDefault="004805D4" w:rsidP="00D11872">
    <w:pPr>
      <w:pStyle w:val="Header"/>
      <w:jc w:val="both"/>
    </w:pPr>
    <w:r>
      <w:rPr>
        <w:noProof/>
      </w:rPr>
      <w:drawing>
        <wp:anchor distT="0" distB="0" distL="114300" distR="114300" simplePos="0" relativeHeight="251665408" behindDoc="0" locked="0" layoutInCell="1" allowOverlap="1" wp14:anchorId="315F423B" wp14:editId="2E7CA6A1">
          <wp:simplePos x="0" y="0"/>
          <wp:positionH relativeFrom="column">
            <wp:posOffset>0</wp:posOffset>
          </wp:positionH>
          <wp:positionV relativeFrom="paragraph">
            <wp:posOffset>-161925</wp:posOffset>
          </wp:positionV>
          <wp:extent cx="1228725" cy="614045"/>
          <wp:effectExtent l="0" t="0" r="9525" b="0"/>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8725" cy="614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90CE4"/>
    <w:multiLevelType w:val="hybridMultilevel"/>
    <w:tmpl w:val="C27CB044"/>
    <w:lvl w:ilvl="0" w:tplc="A134F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62226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wMjM3MbAwtDAwNjNQ0lEKTi0uzszPAykwrgUAtuFiVSwAAAA="/>
  </w:docVars>
  <w:rsids>
    <w:rsidRoot w:val="001A376F"/>
    <w:rsid w:val="00060C84"/>
    <w:rsid w:val="000740EF"/>
    <w:rsid w:val="001543F9"/>
    <w:rsid w:val="001A376F"/>
    <w:rsid w:val="0039088E"/>
    <w:rsid w:val="003F3D37"/>
    <w:rsid w:val="00405850"/>
    <w:rsid w:val="004805D4"/>
    <w:rsid w:val="004A0036"/>
    <w:rsid w:val="004D686C"/>
    <w:rsid w:val="00505EB7"/>
    <w:rsid w:val="00520F4B"/>
    <w:rsid w:val="005359ED"/>
    <w:rsid w:val="00535AF7"/>
    <w:rsid w:val="005C5E23"/>
    <w:rsid w:val="006115F2"/>
    <w:rsid w:val="00622D39"/>
    <w:rsid w:val="00627764"/>
    <w:rsid w:val="00671540"/>
    <w:rsid w:val="0069687C"/>
    <w:rsid w:val="006E5F68"/>
    <w:rsid w:val="00747572"/>
    <w:rsid w:val="00760739"/>
    <w:rsid w:val="00760A5B"/>
    <w:rsid w:val="008079EE"/>
    <w:rsid w:val="00864ED3"/>
    <w:rsid w:val="0089174B"/>
    <w:rsid w:val="008A683B"/>
    <w:rsid w:val="008B723F"/>
    <w:rsid w:val="00994501"/>
    <w:rsid w:val="00A324A3"/>
    <w:rsid w:val="00AF6EF0"/>
    <w:rsid w:val="00B3676C"/>
    <w:rsid w:val="00C65878"/>
    <w:rsid w:val="00CE4F42"/>
    <w:rsid w:val="00D11872"/>
    <w:rsid w:val="00D77F11"/>
    <w:rsid w:val="00DD5B75"/>
    <w:rsid w:val="00E75582"/>
    <w:rsid w:val="00E83DCC"/>
    <w:rsid w:val="00F0295E"/>
    <w:rsid w:val="00F04CCA"/>
    <w:rsid w:val="00F10067"/>
    <w:rsid w:val="00F12F79"/>
    <w:rsid w:val="00F24C8C"/>
    <w:rsid w:val="00F67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5927E"/>
  <w15:chartTrackingRefBased/>
  <w15:docId w15:val="{69D37B39-91E7-4ACE-8C95-4EB86E8F9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872"/>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1872"/>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D11872"/>
  </w:style>
  <w:style w:type="paragraph" w:styleId="Footer">
    <w:name w:val="footer"/>
    <w:basedOn w:val="Normal"/>
    <w:link w:val="FooterChar"/>
    <w:uiPriority w:val="99"/>
    <w:unhideWhenUsed/>
    <w:rsid w:val="00D11872"/>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D11872"/>
  </w:style>
  <w:style w:type="paragraph" w:styleId="BalloonText">
    <w:name w:val="Balloon Text"/>
    <w:basedOn w:val="Normal"/>
    <w:link w:val="BalloonTextChar"/>
    <w:uiPriority w:val="99"/>
    <w:semiHidden/>
    <w:unhideWhenUsed/>
    <w:rsid w:val="009945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501"/>
    <w:rPr>
      <w:rFonts w:ascii="Segoe UI" w:eastAsia="Times New Roman" w:hAnsi="Segoe UI" w:cs="Segoe UI"/>
      <w:sz w:val="18"/>
      <w:szCs w:val="18"/>
    </w:rPr>
  </w:style>
  <w:style w:type="paragraph" w:styleId="ListParagraph">
    <w:name w:val="List Paragraph"/>
    <w:basedOn w:val="Normal"/>
    <w:uiPriority w:val="34"/>
    <w:qFormat/>
    <w:rsid w:val="001A376F"/>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707298\Downloads\Houston%20Corporate%20Headquarters%20Letterhead%20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SharedWithUsers xmlns="32bec057-3491-4406-963b-631c523eaf6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F36880-6D3B-4715-9BEF-0EB7B9D717E2}">
  <ds:schemaRefs>
    <ds:schemaRef ds:uri="http://schemas.microsoft.com/sharepoint/v3/contenttype/forms"/>
  </ds:schemaRefs>
</ds:datastoreItem>
</file>

<file path=customXml/itemProps2.xml><?xml version="1.0" encoding="utf-8"?>
<ds:datastoreItem xmlns:ds="http://schemas.openxmlformats.org/officeDocument/2006/customXml" ds:itemID="{3BF6CF8C-9DEF-4636-90C3-E74943507114}">
  <ds:schemaRefs>
    <ds:schemaRef ds:uri="http://schemas.microsoft.com/office/2006/metadata/properties"/>
    <ds:schemaRef ds:uri="http://schemas.microsoft.com/office/infopath/2007/PartnerControls"/>
    <ds:schemaRef ds:uri="http://schemas.microsoft.com/sharepoint/v3"/>
    <ds:schemaRef ds:uri="79a88639-45fd-4992-88ef-4ba7f371740a"/>
    <ds:schemaRef ds:uri="32bec057-3491-4406-963b-631c523eaf6a"/>
  </ds:schemaRefs>
</ds:datastoreItem>
</file>

<file path=customXml/itemProps3.xml><?xml version="1.0" encoding="utf-8"?>
<ds:datastoreItem xmlns:ds="http://schemas.openxmlformats.org/officeDocument/2006/customXml" ds:itemID="{103364B5-61A7-477A-926D-02E76C5F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a88639-45fd-4992-88ef-4ba7f371740a"/>
    <ds:schemaRef ds:uri="32bec057-3491-4406-963b-631c523ea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Houston Corporate Headquarters Letterhead 2022</Template>
  <TotalTime>1</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Glynn</dc:creator>
  <cp:keywords/>
  <dc:description/>
  <cp:lastModifiedBy>Casavant, Tyler</cp:lastModifiedBy>
  <cp:revision>3</cp:revision>
  <dcterms:created xsi:type="dcterms:W3CDTF">2023-02-06T13:13:00Z</dcterms:created>
  <dcterms:modified xsi:type="dcterms:W3CDTF">2023-02-08T17:25:00Z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0x01010009308B435E6999499697ED7C98CC2133</vt:lpwstr>
  </property>
  <property fmtid="{D5CDD505-2E9C-101B-9397-08002B2CF9AE}" pid="3" name="MediaServiceImageTags">
    <vt:lpwstr/>
  </property>
  <property fmtid="{D5CDD505-2E9C-101B-9397-08002B2CF9AE}" pid="4" name="Order">
    <vt:r8>11033200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5bf193d9-c1cf-45e0-8fa7-a9bc86b7f5dd_Enabled">
    <vt:lpwstr>true</vt:lpwstr>
  </property>
  <property fmtid="{D5CDD505-2E9C-101B-9397-08002B2CF9AE}" pid="12" name="MSIP_Label_5bf193d9-c1cf-45e0-8fa7-a9bc86b7f5dd_SetDate">
    <vt:lpwstr>2023-02-06T13:13:18Z</vt:lpwstr>
  </property>
  <property fmtid="{D5CDD505-2E9C-101B-9397-08002B2CF9AE}" pid="13" name="MSIP_Label_5bf193d9-c1cf-45e0-8fa7-a9bc86b7f5dd_Method">
    <vt:lpwstr>Privileged</vt:lpwstr>
  </property>
  <property fmtid="{D5CDD505-2E9C-101B-9397-08002B2CF9AE}" pid="14" name="MSIP_Label_5bf193d9-c1cf-45e0-8fa7-a9bc86b7f5dd_Name">
    <vt:lpwstr>NYISO Proprietary Information</vt:lpwstr>
  </property>
  <property fmtid="{D5CDD505-2E9C-101B-9397-08002B2CF9AE}" pid="15" name="MSIP_Label_5bf193d9-c1cf-45e0-8fa7-a9bc86b7f5dd_SiteId">
    <vt:lpwstr>7658602a-f7b9-4209-bc62-d2bfc30dea0d</vt:lpwstr>
  </property>
  <property fmtid="{D5CDD505-2E9C-101B-9397-08002B2CF9AE}" pid="16" name="MSIP_Label_5bf193d9-c1cf-45e0-8fa7-a9bc86b7f5dd_ActionId">
    <vt:lpwstr>86cffebd-e576-4a06-85b7-d9d7f50f017e</vt:lpwstr>
  </property>
  <property fmtid="{D5CDD505-2E9C-101B-9397-08002B2CF9AE}" pid="17" name="MSIP_Label_5bf193d9-c1cf-45e0-8fa7-a9bc86b7f5dd_ContentBits">
    <vt:lpwstr>0</vt:lpwstr>
  </property>
</Properties>
</file>